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9B" w:rsidRPr="006E568E" w:rsidRDefault="006B259B" w:rsidP="001510D5">
      <w:pPr>
        <w:rPr>
          <w:b/>
          <w:u w:val="single"/>
        </w:rPr>
      </w:pPr>
    </w:p>
    <w:p w:rsidR="001510D5" w:rsidRPr="006E568E" w:rsidRDefault="00434A88" w:rsidP="001510D5">
      <w:pPr>
        <w:rPr>
          <w:b/>
          <w:u w:val="single"/>
        </w:rPr>
      </w:pPr>
      <w:r w:rsidRPr="006E568E">
        <w:rPr>
          <w:b/>
          <w:u w:val="single"/>
        </w:rPr>
        <w:t>Overview</w:t>
      </w:r>
    </w:p>
    <w:p w:rsidR="005757E7" w:rsidRPr="006E568E" w:rsidRDefault="008A133C" w:rsidP="006B259B">
      <w:r w:rsidRPr="006E568E">
        <w:rPr>
          <w:rFonts w:eastAsia="Times New Roman" w:cs="Calibri"/>
        </w:rPr>
        <w:t xml:space="preserve">The Year End Financial Report for the Seattle </w:t>
      </w:r>
      <w:r w:rsidR="00DB2A46" w:rsidRPr="006E568E">
        <w:rPr>
          <w:rFonts w:eastAsia="Times New Roman" w:cs="Calibri"/>
        </w:rPr>
        <w:t xml:space="preserve">Colleges </w:t>
      </w:r>
      <w:r w:rsidR="00AF0620" w:rsidRPr="006E568E">
        <w:rPr>
          <w:rFonts w:eastAsia="Times New Roman" w:cs="Calibri"/>
        </w:rPr>
        <w:t>demonstrates a healthy financial position and has no unexpected results based on prior quarter financial reviews.  Some key components include:</w:t>
      </w:r>
    </w:p>
    <w:p w:rsidR="006B259B" w:rsidRPr="006E568E" w:rsidRDefault="00AF0620" w:rsidP="006B259B">
      <w:pPr>
        <w:pStyle w:val="ListParagraph"/>
        <w:numPr>
          <w:ilvl w:val="0"/>
          <w:numId w:val="6"/>
        </w:numPr>
      </w:pPr>
      <w:r w:rsidRPr="006E568E">
        <w:rPr>
          <w:rFonts w:eastAsia="Times New Roman" w:cs="Calibri"/>
        </w:rPr>
        <w:t>Op</w:t>
      </w:r>
      <w:r w:rsidR="00631FD3" w:rsidRPr="006E568E">
        <w:rPr>
          <w:rFonts w:eastAsia="Times New Roman" w:cs="Calibri"/>
        </w:rPr>
        <w:t>erating expenses were lower than the budgeted amount for the year.</w:t>
      </w:r>
    </w:p>
    <w:p w:rsidR="00631FD3" w:rsidRPr="006E568E" w:rsidRDefault="00631FD3" w:rsidP="006B259B">
      <w:pPr>
        <w:pStyle w:val="ListParagraph"/>
        <w:numPr>
          <w:ilvl w:val="0"/>
          <w:numId w:val="6"/>
        </w:numPr>
      </w:pPr>
      <w:r w:rsidRPr="006E568E">
        <w:t xml:space="preserve">Tuition Revenue </w:t>
      </w:r>
      <w:r w:rsidR="00934A61">
        <w:t xml:space="preserve">for the year </w:t>
      </w:r>
      <w:r w:rsidRPr="006E568E">
        <w:t>exceed</w:t>
      </w:r>
      <w:r w:rsidR="00934A61">
        <w:t>ed</w:t>
      </w:r>
      <w:r w:rsidRPr="006E568E">
        <w:t xml:space="preserve"> the </w:t>
      </w:r>
      <w:r w:rsidR="001D0707">
        <w:t xml:space="preserve">adjusted </w:t>
      </w:r>
      <w:r w:rsidRPr="006E568E">
        <w:t>target amount by $848,707 with BAS Tuition Revenue also exceeding the</w:t>
      </w:r>
      <w:r w:rsidR="00934A61">
        <w:t xml:space="preserve"> tuition</w:t>
      </w:r>
      <w:r w:rsidRPr="006E568E">
        <w:t xml:space="preserve"> target for the year.</w:t>
      </w:r>
    </w:p>
    <w:p w:rsidR="00BE0187" w:rsidRPr="006E568E" w:rsidRDefault="00631FD3" w:rsidP="006B259B">
      <w:pPr>
        <w:pStyle w:val="ListParagraph"/>
        <w:numPr>
          <w:ilvl w:val="0"/>
          <w:numId w:val="6"/>
        </w:numPr>
      </w:pPr>
      <w:r w:rsidRPr="006E568E">
        <w:t>The College is operating in a challenging cost environment with overall expenses rising $4</w:t>
      </w:r>
      <w:r w:rsidR="004B24D3">
        <w:t>.8M</w:t>
      </w:r>
      <w:r w:rsidRPr="006E568E">
        <w:t xml:space="preserve"> year over </w:t>
      </w:r>
      <w:r w:rsidR="001D0707">
        <w:t xml:space="preserve">prior </w:t>
      </w:r>
      <w:r w:rsidRPr="006E568E">
        <w:t xml:space="preserve">year.  However as noted, total </w:t>
      </w:r>
      <w:r w:rsidR="00934A61">
        <w:t xml:space="preserve">operating </w:t>
      </w:r>
      <w:r w:rsidRPr="006E568E">
        <w:t>expenses were still below the amounts budgeted for FY 1415.</w:t>
      </w:r>
    </w:p>
    <w:p w:rsidR="00956715" w:rsidRPr="006E568E" w:rsidRDefault="00956715" w:rsidP="006B259B">
      <w:pPr>
        <w:pStyle w:val="ListParagraph"/>
        <w:numPr>
          <w:ilvl w:val="0"/>
          <w:numId w:val="6"/>
        </w:numPr>
      </w:pPr>
      <w:r w:rsidRPr="006E568E">
        <w:rPr>
          <w:rFonts w:eastAsia="Times New Roman" w:cs="Calibri"/>
        </w:rPr>
        <w:t>Local Funds are stable with consistent cash balances</w:t>
      </w:r>
      <w:r w:rsidR="00934A61">
        <w:rPr>
          <w:rFonts w:eastAsia="Times New Roman" w:cs="Calibri"/>
        </w:rPr>
        <w:t>.</w:t>
      </w:r>
    </w:p>
    <w:p w:rsidR="009D2B9B" w:rsidRPr="006E568E" w:rsidRDefault="009D2B9B" w:rsidP="006B259B">
      <w:pPr>
        <w:rPr>
          <w:b/>
        </w:rPr>
      </w:pPr>
    </w:p>
    <w:p w:rsidR="006B259B" w:rsidRPr="006E568E" w:rsidRDefault="006B259B" w:rsidP="006B259B">
      <w:pPr>
        <w:rPr>
          <w:b/>
          <w:u w:val="single"/>
        </w:rPr>
      </w:pPr>
      <w:r w:rsidRPr="006E568E">
        <w:rPr>
          <w:b/>
          <w:u w:val="single"/>
        </w:rPr>
        <w:t>Financial Sustainability</w:t>
      </w:r>
    </w:p>
    <w:p w:rsidR="005B185F" w:rsidRPr="006E568E" w:rsidRDefault="005B185F" w:rsidP="005B185F">
      <w:r w:rsidRPr="006E568E">
        <w:t xml:space="preserve">With structural uncertainties caused by the enrollment decline and the State of Washington’s budget situation, the Seattle Colleges continues to manage its budget </w:t>
      </w:r>
      <w:r w:rsidR="00934A61">
        <w:t>conservatively and effectively:</w:t>
      </w:r>
    </w:p>
    <w:p w:rsidR="005B185F" w:rsidRPr="006E568E" w:rsidRDefault="005B185F" w:rsidP="006B259B">
      <w:pPr>
        <w:pStyle w:val="ListParagraph"/>
        <w:numPr>
          <w:ilvl w:val="0"/>
          <w:numId w:val="6"/>
        </w:numPr>
      </w:pPr>
      <w:r w:rsidRPr="006E568E">
        <w:t>Operating expenses of $119.5 million were less than budgeted expenses of $127.4 million.</w:t>
      </w:r>
    </w:p>
    <w:p w:rsidR="005B185F" w:rsidRPr="006E568E" w:rsidRDefault="005B185F" w:rsidP="006B259B">
      <w:pPr>
        <w:pStyle w:val="ListParagraph"/>
        <w:numPr>
          <w:ilvl w:val="0"/>
          <w:numId w:val="6"/>
        </w:numPr>
      </w:pPr>
      <w:r w:rsidRPr="006E568E">
        <w:t>Tuition revenue - while below last year’s total – came in at 102.5% of the revised target for 1415.</w:t>
      </w:r>
    </w:p>
    <w:p w:rsidR="00CD5CA0" w:rsidRPr="006E568E" w:rsidRDefault="00B76DA4" w:rsidP="006B259B">
      <w:pPr>
        <w:pStyle w:val="ListParagraph"/>
        <w:numPr>
          <w:ilvl w:val="0"/>
          <w:numId w:val="6"/>
        </w:numPr>
      </w:pPr>
      <w:r w:rsidRPr="006E568E">
        <w:t>Total r</w:t>
      </w:r>
      <w:r w:rsidR="00CD5CA0" w:rsidRPr="006E568E">
        <w:t>eserves of $</w:t>
      </w:r>
      <w:r w:rsidR="005D3AE6" w:rsidRPr="006E568E">
        <w:t>1</w:t>
      </w:r>
      <w:r w:rsidR="005B185F" w:rsidRPr="006E568E">
        <w:t>2.2</w:t>
      </w:r>
      <w:r w:rsidR="00956715" w:rsidRPr="006E568E">
        <w:t xml:space="preserve"> </w:t>
      </w:r>
      <w:r w:rsidR="00CD5CA0" w:rsidRPr="006E568E">
        <w:t xml:space="preserve">million are </w:t>
      </w:r>
      <w:r w:rsidR="008A133C" w:rsidRPr="006E568E">
        <w:t>within our 5-10%</w:t>
      </w:r>
      <w:r w:rsidR="00CD5CA0" w:rsidRPr="006E568E">
        <w:t xml:space="preserve"> </w:t>
      </w:r>
      <w:r w:rsidRPr="006E568E">
        <w:t xml:space="preserve">policy </w:t>
      </w:r>
      <w:r w:rsidR="00CD5CA0" w:rsidRPr="006E568E">
        <w:t>requirement</w:t>
      </w:r>
      <w:r w:rsidR="00934A61">
        <w:t>.</w:t>
      </w:r>
    </w:p>
    <w:p w:rsidR="005B185F" w:rsidRPr="006E568E" w:rsidRDefault="005B185F" w:rsidP="005B185F">
      <w:pPr>
        <w:pStyle w:val="ListParagraph"/>
        <w:numPr>
          <w:ilvl w:val="0"/>
          <w:numId w:val="6"/>
        </w:numPr>
      </w:pPr>
      <w:r w:rsidRPr="006E568E">
        <w:t xml:space="preserve">Local funding sources remain a diversified source of revenue, however the colleges are increasingly reliant on these sources as tuition revenue declines (i.e., International Student Tuition). </w:t>
      </w:r>
    </w:p>
    <w:p w:rsidR="005B185F" w:rsidRPr="006E568E" w:rsidRDefault="005B185F" w:rsidP="005B185F">
      <w:pPr>
        <w:pStyle w:val="ListParagraph"/>
        <w:numPr>
          <w:ilvl w:val="0"/>
          <w:numId w:val="6"/>
        </w:numPr>
      </w:pPr>
      <w:r w:rsidRPr="006E568E">
        <w:t>Cash balances are strong in large revenue budgets such as International Students and Grants &amp; Contracts.</w:t>
      </w:r>
    </w:p>
    <w:p w:rsidR="005B185F" w:rsidRPr="006E568E" w:rsidRDefault="005B185F" w:rsidP="005B185F">
      <w:pPr>
        <w:pStyle w:val="ListParagraph"/>
        <w:numPr>
          <w:ilvl w:val="0"/>
          <w:numId w:val="6"/>
        </w:numPr>
      </w:pPr>
      <w:r w:rsidRPr="006E568E">
        <w:t>Self-support programs continue to run positive cash balances.</w:t>
      </w:r>
    </w:p>
    <w:p w:rsidR="005B185F" w:rsidRPr="006E568E" w:rsidRDefault="005B185F" w:rsidP="005B185F">
      <w:pPr>
        <w:pStyle w:val="ListParagraph"/>
        <w:numPr>
          <w:ilvl w:val="0"/>
          <w:numId w:val="6"/>
        </w:numPr>
      </w:pPr>
      <w:r w:rsidRPr="006E568E">
        <w:t xml:space="preserve">Retail and other fund balances remain in positive cash positions. Food service continues to be an area of financial concern particularly at North Seattle College. </w:t>
      </w:r>
    </w:p>
    <w:p w:rsidR="005D3AE6" w:rsidRPr="006E568E" w:rsidRDefault="005D3AE6">
      <w:pPr>
        <w:rPr>
          <w:b/>
          <w:u w:val="single"/>
        </w:rPr>
      </w:pPr>
    </w:p>
    <w:p w:rsidR="00925A9A" w:rsidRPr="006E568E" w:rsidRDefault="00925A9A">
      <w:pPr>
        <w:rPr>
          <w:b/>
          <w:u w:val="single"/>
        </w:rPr>
      </w:pPr>
      <w:r w:rsidRPr="006E568E">
        <w:rPr>
          <w:b/>
          <w:u w:val="single"/>
        </w:rPr>
        <w:t>Operating Budget</w:t>
      </w:r>
      <w:r w:rsidR="00845554" w:rsidRPr="006E568E">
        <w:rPr>
          <w:b/>
          <w:u w:val="single"/>
        </w:rPr>
        <w:t xml:space="preserve"> (State Funding</w:t>
      </w:r>
      <w:r w:rsidR="00164F1A" w:rsidRPr="006E568E">
        <w:rPr>
          <w:b/>
          <w:u w:val="single"/>
        </w:rPr>
        <w:t xml:space="preserve">, </w:t>
      </w:r>
      <w:r w:rsidR="00845554" w:rsidRPr="006E568E">
        <w:rPr>
          <w:b/>
          <w:u w:val="single"/>
        </w:rPr>
        <w:t>Tuition</w:t>
      </w:r>
      <w:r w:rsidR="00164F1A" w:rsidRPr="006E568E">
        <w:rPr>
          <w:b/>
          <w:u w:val="single"/>
        </w:rPr>
        <w:t>, and Indirect Cost Recoveries</w:t>
      </w:r>
      <w:r w:rsidR="00845554" w:rsidRPr="006E568E">
        <w:rPr>
          <w:b/>
          <w:u w:val="single"/>
        </w:rPr>
        <w:t>)</w:t>
      </w:r>
    </w:p>
    <w:p w:rsidR="004868C9" w:rsidRPr="006E568E" w:rsidRDefault="00EE7021" w:rsidP="006B259B">
      <w:pPr>
        <w:pStyle w:val="ListParagraph"/>
        <w:numPr>
          <w:ilvl w:val="0"/>
          <w:numId w:val="1"/>
        </w:numPr>
        <w:rPr>
          <w:b/>
          <w:u w:val="single"/>
        </w:rPr>
      </w:pPr>
      <w:r w:rsidRPr="006E568E">
        <w:t>The t</w:t>
      </w:r>
      <w:r w:rsidR="006D0CBF" w:rsidRPr="006E568E">
        <w:t xml:space="preserve">otal of all operating expenditures </w:t>
      </w:r>
      <w:r w:rsidR="002F17D8" w:rsidRPr="006E568E">
        <w:t>of $</w:t>
      </w:r>
      <w:r w:rsidR="004868C9" w:rsidRPr="006E568E">
        <w:t>119.5</w:t>
      </w:r>
      <w:r w:rsidR="005D3AE6" w:rsidRPr="006E568E">
        <w:t>M</w:t>
      </w:r>
      <w:r w:rsidR="002F17D8" w:rsidRPr="006E568E">
        <w:t xml:space="preserve"> </w:t>
      </w:r>
      <w:r w:rsidR="006D06F2" w:rsidRPr="006E568E">
        <w:t xml:space="preserve">through </w:t>
      </w:r>
      <w:r w:rsidR="00222596" w:rsidRPr="006E568E">
        <w:t xml:space="preserve">the </w:t>
      </w:r>
      <w:r w:rsidR="00CD5CA0" w:rsidRPr="006E568E">
        <w:t xml:space="preserve">end of FY </w:t>
      </w:r>
      <w:r w:rsidR="00956715" w:rsidRPr="006E568E">
        <w:t xml:space="preserve">1314 </w:t>
      </w:r>
      <w:r w:rsidR="00222596" w:rsidRPr="006E568E">
        <w:t xml:space="preserve">is at </w:t>
      </w:r>
      <w:r w:rsidR="004868C9" w:rsidRPr="006E568E">
        <w:t>94</w:t>
      </w:r>
      <w:r w:rsidR="005D3AE6" w:rsidRPr="006E568E">
        <w:t>%</w:t>
      </w:r>
      <w:r w:rsidR="006D0CBF" w:rsidRPr="006E568E">
        <w:t xml:space="preserve"> </w:t>
      </w:r>
      <w:r w:rsidR="001058BF" w:rsidRPr="006E568E">
        <w:t xml:space="preserve">of </w:t>
      </w:r>
      <w:r w:rsidR="00CD5CA0" w:rsidRPr="006E568E">
        <w:t>the operating budget</w:t>
      </w:r>
      <w:r w:rsidR="004868C9" w:rsidRPr="006E568E">
        <w:t xml:space="preserve"> of $127.4M.</w:t>
      </w:r>
    </w:p>
    <w:p w:rsidR="00EE7474" w:rsidRPr="006E568E" w:rsidRDefault="004868C9" w:rsidP="006B259B">
      <w:pPr>
        <w:pStyle w:val="ListParagraph"/>
        <w:numPr>
          <w:ilvl w:val="0"/>
          <w:numId w:val="1"/>
        </w:numPr>
        <w:rPr>
          <w:b/>
          <w:u w:val="single"/>
        </w:rPr>
      </w:pPr>
      <w:r w:rsidRPr="006E568E">
        <w:t xml:space="preserve">Labor (salary and benefit) costs are at 82% of the total annual expenditures and remain fairly consistent with 80% last year.  </w:t>
      </w:r>
    </w:p>
    <w:p w:rsidR="004868C9" w:rsidRPr="006E568E" w:rsidRDefault="004868C9" w:rsidP="006B259B">
      <w:pPr>
        <w:pStyle w:val="ListParagraph"/>
        <w:numPr>
          <w:ilvl w:val="0"/>
          <w:numId w:val="1"/>
        </w:numPr>
        <w:rPr>
          <w:b/>
          <w:u w:val="single"/>
        </w:rPr>
      </w:pPr>
      <w:r w:rsidRPr="006E568E">
        <w:t>Expenditures in Goods &amp; Services (aka Non-Labor expenses) rose $1.9M year over year.  The expenditures total of $21.6M this year compares to $19.7M last year.</w:t>
      </w:r>
      <w:r w:rsidR="00155DE1" w:rsidRPr="006E568E">
        <w:t xml:space="preserve">  However, the $21.6M was below the budgeted amount of $25.9M for FY 1415.</w:t>
      </w:r>
    </w:p>
    <w:p w:rsidR="00772BC3" w:rsidRPr="006E568E" w:rsidRDefault="00772BC3" w:rsidP="00772BC3">
      <w:pPr>
        <w:rPr>
          <w:b/>
          <w:u w:val="single"/>
        </w:rPr>
      </w:pPr>
    </w:p>
    <w:p w:rsidR="00311FE6" w:rsidRPr="006E568E" w:rsidRDefault="00311FE6" w:rsidP="00B979C6">
      <w:pPr>
        <w:rPr>
          <w:b/>
          <w:u w:val="single"/>
        </w:rPr>
      </w:pPr>
      <w:r w:rsidRPr="006E568E">
        <w:rPr>
          <w:b/>
          <w:u w:val="single"/>
        </w:rPr>
        <w:t>Grants &amp; Contract</w:t>
      </w:r>
      <w:r w:rsidR="009A79FC" w:rsidRPr="006E568E">
        <w:rPr>
          <w:b/>
          <w:u w:val="single"/>
        </w:rPr>
        <w:t>s</w:t>
      </w:r>
    </w:p>
    <w:p w:rsidR="00772BC3" w:rsidRPr="00772BC3" w:rsidRDefault="00772BC3" w:rsidP="00772BC3">
      <w:pPr>
        <w:numPr>
          <w:ilvl w:val="0"/>
          <w:numId w:val="2"/>
        </w:numPr>
        <w:contextualSpacing/>
      </w:pPr>
      <w:r w:rsidRPr="00772BC3">
        <w:t>International Student program revenue totaled $</w:t>
      </w:r>
      <w:r w:rsidR="006E568E" w:rsidRPr="006E568E">
        <w:t>25.4</w:t>
      </w:r>
      <w:r w:rsidRPr="00772BC3">
        <w:t xml:space="preserve">M </w:t>
      </w:r>
      <w:r w:rsidR="006E568E" w:rsidRPr="006E568E">
        <w:t>for FY 1415.</w:t>
      </w:r>
      <w:r w:rsidRPr="00772BC3">
        <w:t xml:space="preserve">  This </w:t>
      </w:r>
      <w:r w:rsidR="006E568E" w:rsidRPr="006E568E">
        <w:t xml:space="preserve">is a significant increase over the $16.3M </w:t>
      </w:r>
      <w:r w:rsidR="001D0707">
        <w:t>reported</w:t>
      </w:r>
      <w:r w:rsidR="006E568E" w:rsidRPr="006E568E">
        <w:t xml:space="preserve"> in FY 1314.</w:t>
      </w:r>
      <w:r w:rsidRPr="00772BC3">
        <w:t xml:space="preserve"> </w:t>
      </w:r>
      <w:r w:rsidR="001D0707">
        <w:t xml:space="preserve">Although international student enrollment was slightly up for 1415, the majority of this change is due to the fact that the Colleges did not convert international student FTES in FY 1415. In FY 1314, more than $8 million in tuition revenue was transferred from the International Student fund to the general tuition fund as a result of the conversion. In fiscal year 1415, no conversions were made. </w:t>
      </w:r>
    </w:p>
    <w:p w:rsidR="00772BC3" w:rsidRDefault="00772BC3" w:rsidP="00772BC3">
      <w:pPr>
        <w:pStyle w:val="ListParagraph"/>
        <w:numPr>
          <w:ilvl w:val="0"/>
          <w:numId w:val="2"/>
        </w:numPr>
      </w:pPr>
      <w:r w:rsidRPr="006E568E">
        <w:t>Grants continue to be a strong funding opportunity for the SCC with an active balance of $</w:t>
      </w:r>
      <w:r w:rsidR="00EA601B">
        <w:t>42.4</w:t>
      </w:r>
      <w:bookmarkStart w:id="0" w:name="_GoBack"/>
      <w:bookmarkEnd w:id="0"/>
      <w:r w:rsidRPr="006E568E">
        <w:t>M at the current time.  This</w:t>
      </w:r>
      <w:r w:rsidR="00934A61">
        <w:t xml:space="preserve"> total is a</w:t>
      </w:r>
      <w:r w:rsidRPr="006E568E">
        <w:t xml:space="preserve"> multi-year grant total of all active grants.  See the Active Grants report for more detail.</w:t>
      </w:r>
    </w:p>
    <w:p w:rsidR="004B24D3" w:rsidRPr="006A226B" w:rsidRDefault="004B24D3" w:rsidP="004B24D3">
      <w:pPr>
        <w:rPr>
          <w:b/>
          <w:u w:val="single"/>
        </w:rPr>
      </w:pPr>
      <w:r>
        <w:rPr>
          <w:b/>
          <w:u w:val="single"/>
        </w:rPr>
        <w:t xml:space="preserve">Fund Reporting </w:t>
      </w:r>
    </w:p>
    <w:p w:rsidR="004B24D3" w:rsidRPr="006A226B" w:rsidRDefault="004B24D3" w:rsidP="004B24D3">
      <w:r>
        <w:t xml:space="preserve">Non-operating funds are displayed in a balance sheet and income statement format.  </w:t>
      </w:r>
    </w:p>
    <w:p w:rsidR="004B24D3" w:rsidRDefault="004B24D3" w:rsidP="004B24D3">
      <w:pPr>
        <w:pStyle w:val="ListParagraph"/>
        <w:numPr>
          <w:ilvl w:val="0"/>
          <w:numId w:val="4"/>
        </w:numPr>
      </w:pPr>
      <w:r>
        <w:t>Fund 522, Associated Students revenue is $</w:t>
      </w:r>
      <w:r w:rsidR="00B657FD">
        <w:t>3.9</w:t>
      </w:r>
      <w:r>
        <w:t>M which is down from $</w:t>
      </w:r>
      <w:r w:rsidR="00B657FD">
        <w:t>4.3</w:t>
      </w:r>
      <w:r>
        <w:t xml:space="preserve">M and reflects our lower enrollment this year.  </w:t>
      </w:r>
    </w:p>
    <w:p w:rsidR="004B24D3" w:rsidRDefault="004B24D3" w:rsidP="004B24D3">
      <w:pPr>
        <w:pStyle w:val="ListParagraph"/>
        <w:numPr>
          <w:ilvl w:val="0"/>
          <w:numId w:val="4"/>
        </w:numPr>
      </w:pPr>
      <w:r>
        <w:t xml:space="preserve">Fund 569, Food Service loss is </w:t>
      </w:r>
      <w:r w:rsidRPr="00B657FD">
        <w:rPr>
          <w:color w:val="FF0000"/>
        </w:rPr>
        <w:t>($13</w:t>
      </w:r>
      <w:r w:rsidR="00B657FD" w:rsidRPr="00B657FD">
        <w:rPr>
          <w:color w:val="FF0000"/>
        </w:rPr>
        <w:t>9</w:t>
      </w:r>
      <w:r w:rsidRPr="00B657FD">
        <w:rPr>
          <w:color w:val="FF0000"/>
        </w:rPr>
        <w:t xml:space="preserve">K) </w:t>
      </w:r>
      <w:r>
        <w:t xml:space="preserve">on revenues of </w:t>
      </w:r>
      <w:r w:rsidR="00B657FD">
        <w:t>$2.3</w:t>
      </w:r>
      <w:r>
        <w:t xml:space="preserve">M.  Last year </w:t>
      </w:r>
      <w:r w:rsidR="00B657FD">
        <w:t>there was a gain of $94K</w:t>
      </w:r>
      <w:r w:rsidRPr="00B7135E">
        <w:rPr>
          <w:color w:val="FF0000"/>
        </w:rPr>
        <w:t xml:space="preserve"> </w:t>
      </w:r>
      <w:r>
        <w:t>on revenues of $</w:t>
      </w:r>
      <w:r w:rsidR="00B657FD">
        <w:t>2.5</w:t>
      </w:r>
      <w:r>
        <w:t xml:space="preserve">M.  The cash </w:t>
      </w:r>
      <w:r w:rsidR="00B657FD">
        <w:t xml:space="preserve">working capital </w:t>
      </w:r>
      <w:r>
        <w:t>balance</w:t>
      </w:r>
      <w:r w:rsidR="00B657FD">
        <w:t xml:space="preserve"> in this fund is currently </w:t>
      </w:r>
      <w:r w:rsidR="00B657FD" w:rsidRPr="00B657FD">
        <w:rPr>
          <w:color w:val="FF0000"/>
        </w:rPr>
        <w:t>($467</w:t>
      </w:r>
      <w:r w:rsidRPr="00B657FD">
        <w:rPr>
          <w:color w:val="FF0000"/>
        </w:rPr>
        <w:t xml:space="preserve">K). </w:t>
      </w:r>
    </w:p>
    <w:p w:rsidR="004B24D3" w:rsidRDefault="004B24D3" w:rsidP="004B24D3">
      <w:pPr>
        <w:pStyle w:val="ListParagraph"/>
        <w:numPr>
          <w:ilvl w:val="0"/>
          <w:numId w:val="4"/>
        </w:numPr>
      </w:pPr>
      <w:r>
        <w:t xml:space="preserve">Fund 570, </w:t>
      </w:r>
      <w:r w:rsidRPr="006A226B">
        <w:t xml:space="preserve">Auxiliary Enterprise revenue </w:t>
      </w:r>
      <w:r>
        <w:t xml:space="preserve">increased by </w:t>
      </w:r>
      <w:r w:rsidR="00B657FD">
        <w:t>$1.4M</w:t>
      </w:r>
      <w:r>
        <w:t xml:space="preserve"> </w:t>
      </w:r>
      <w:r w:rsidRPr="006A226B">
        <w:t>compared to the previous year.  The revenue of $</w:t>
      </w:r>
      <w:r w:rsidR="00B657FD">
        <w:t>13.1M</w:t>
      </w:r>
      <w:r w:rsidRPr="006A226B">
        <w:t xml:space="preserve"> is greater than </w:t>
      </w:r>
      <w:r>
        <w:t>the year-to-date expenses</w:t>
      </w:r>
      <w:r w:rsidRPr="006A226B">
        <w:t xml:space="preserve"> of $</w:t>
      </w:r>
      <w:r w:rsidR="00B657FD">
        <w:t>10.8</w:t>
      </w:r>
      <w:r w:rsidRPr="006A226B">
        <w:t>M and contributes to the bottom line.</w:t>
      </w:r>
      <w:r>
        <w:t xml:space="preserve"> The cash balance is also up at $1</w:t>
      </w:r>
      <w:r w:rsidR="00B657FD">
        <w:t>5.9</w:t>
      </w:r>
      <w:r>
        <w:t>M this year, compared to $1</w:t>
      </w:r>
      <w:r w:rsidR="00B657FD">
        <w:t>5.0</w:t>
      </w:r>
      <w:r>
        <w:t xml:space="preserve">M last year due </w:t>
      </w:r>
      <w:r w:rsidR="00B13BCA">
        <w:t>to an</w:t>
      </w:r>
      <w:r w:rsidR="00B63C17">
        <w:t xml:space="preserve"> increase in the net gain in FY</w:t>
      </w:r>
      <w:r w:rsidR="00B657FD">
        <w:t xml:space="preserve"> 1415</w:t>
      </w:r>
      <w:r>
        <w:t xml:space="preserve">. This fund is comprised of Intensive English Program Revenue, Rental income and other Auxiliary revenues. </w:t>
      </w:r>
    </w:p>
    <w:p w:rsidR="004B24D3" w:rsidRPr="004B24D3" w:rsidRDefault="004B24D3" w:rsidP="004B24D3">
      <w:pPr>
        <w:rPr>
          <w:b/>
          <w:u w:val="single"/>
        </w:rPr>
      </w:pPr>
    </w:p>
    <w:p w:rsidR="006E568E" w:rsidRPr="006E568E" w:rsidRDefault="006E568E" w:rsidP="006E568E">
      <w:pPr>
        <w:rPr>
          <w:b/>
          <w:u w:val="single"/>
        </w:rPr>
      </w:pPr>
      <w:r w:rsidRPr="006E568E">
        <w:rPr>
          <w:b/>
          <w:u w:val="single"/>
        </w:rPr>
        <w:t>Reserves</w:t>
      </w:r>
    </w:p>
    <w:p w:rsidR="006E568E" w:rsidRPr="006E568E" w:rsidRDefault="006E568E" w:rsidP="006E568E">
      <w:pPr>
        <w:pStyle w:val="ListParagraph"/>
        <w:numPr>
          <w:ilvl w:val="0"/>
          <w:numId w:val="8"/>
        </w:numPr>
      </w:pPr>
      <w:r w:rsidRPr="006E568E">
        <w:t>Per Seattle Colleges Policy 608, the Colleges and the District Office continue to maintain accounts as required.  Total reserve for the District is $12.2M and 5.9% of the aggregate total of the annual budget.</w:t>
      </w:r>
    </w:p>
    <w:p w:rsidR="00DC4060" w:rsidRPr="006E568E" w:rsidRDefault="00DC4060" w:rsidP="006E568E"/>
    <w:sectPr w:rsidR="00DC4060" w:rsidRPr="006E568E" w:rsidSect="004303EE">
      <w:headerReference w:type="default" r:id="rId9"/>
      <w:footerReference w:type="default" r:id="rId10"/>
      <w:headerReference w:type="first" r:id="rId11"/>
      <w:pgSz w:w="12240" w:h="15840"/>
      <w:pgMar w:top="1080" w:right="1080" w:bottom="79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8B" w:rsidRDefault="00124C8B" w:rsidP="00BA6ABB">
      <w:pPr>
        <w:spacing w:after="0" w:line="240" w:lineRule="auto"/>
      </w:pPr>
      <w:r>
        <w:separator/>
      </w:r>
    </w:p>
  </w:endnote>
  <w:endnote w:type="continuationSeparator" w:id="0">
    <w:p w:rsidR="00124C8B" w:rsidRDefault="00124C8B" w:rsidP="00BA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4016"/>
      <w:docPartObj>
        <w:docPartGallery w:val="Page Numbers (Bottom of Page)"/>
        <w:docPartUnique/>
      </w:docPartObj>
    </w:sdtPr>
    <w:sdtEndPr>
      <w:rPr>
        <w:color w:val="7F7F7F" w:themeColor="background1" w:themeShade="7F"/>
        <w:spacing w:val="60"/>
      </w:rPr>
    </w:sdtEndPr>
    <w:sdtContent>
      <w:p w:rsidR="00124C8B" w:rsidRDefault="00001FFC">
        <w:pPr>
          <w:pStyle w:val="Footer"/>
          <w:pBdr>
            <w:top w:val="single" w:sz="4" w:space="1" w:color="D9D9D9" w:themeColor="background1" w:themeShade="D9"/>
          </w:pBdr>
          <w:rPr>
            <w:b/>
          </w:rPr>
        </w:pPr>
        <w:r>
          <w:fldChar w:fldCharType="begin"/>
        </w:r>
        <w:r>
          <w:instrText xml:space="preserve"> PAGE   \* MERGEFORMAT </w:instrText>
        </w:r>
        <w:r>
          <w:fldChar w:fldCharType="separate"/>
        </w:r>
        <w:r w:rsidR="00EA601B" w:rsidRPr="00EA601B">
          <w:rPr>
            <w:b/>
            <w:noProof/>
          </w:rPr>
          <w:t>2</w:t>
        </w:r>
        <w:r>
          <w:rPr>
            <w:b/>
            <w:noProof/>
          </w:rPr>
          <w:fldChar w:fldCharType="end"/>
        </w:r>
        <w:r w:rsidR="00124C8B">
          <w:rPr>
            <w:b/>
          </w:rPr>
          <w:t xml:space="preserve"> | </w:t>
        </w:r>
        <w:r w:rsidR="00124C8B">
          <w:rPr>
            <w:color w:val="7F7F7F" w:themeColor="background1" w:themeShade="7F"/>
            <w:spacing w:val="60"/>
          </w:rPr>
          <w:t>Page</w:t>
        </w:r>
      </w:p>
    </w:sdtContent>
  </w:sdt>
  <w:p w:rsidR="00124C8B" w:rsidRDefault="0012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8B" w:rsidRDefault="00124C8B" w:rsidP="00BA6ABB">
      <w:pPr>
        <w:spacing w:after="0" w:line="240" w:lineRule="auto"/>
      </w:pPr>
      <w:r>
        <w:separator/>
      </w:r>
    </w:p>
  </w:footnote>
  <w:footnote w:type="continuationSeparator" w:id="0">
    <w:p w:rsidR="00124C8B" w:rsidRDefault="00124C8B" w:rsidP="00BA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1A" w:rsidRDefault="00164F1A">
    <w:pPr>
      <w:pStyle w:val="Header"/>
    </w:pPr>
    <w:r>
      <w:t xml:space="preserve">SCCC District Financial Summary for FY </w:t>
    </w:r>
    <w:r w:rsidR="005D3AE6">
      <w:t>201</w:t>
    </w:r>
    <w:r w:rsidR="00EA601B">
      <w:t>4</w:t>
    </w:r>
    <w:r w:rsidR="005D3AE6">
      <w:t>-201</w:t>
    </w:r>
    <w:r w:rsidR="00EA601B">
      <w:t>5</w:t>
    </w:r>
  </w:p>
  <w:p w:rsidR="00164F1A" w:rsidRDefault="00164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8"/>
      <w:gridCol w:w="4178"/>
    </w:tblGrid>
    <w:tr w:rsidR="00124C8B" w:rsidTr="00A16D11">
      <w:tc>
        <w:tcPr>
          <w:tcW w:w="7758" w:type="dxa"/>
        </w:tcPr>
        <w:p w:rsidR="00124C8B" w:rsidRPr="00956715" w:rsidRDefault="00124C8B" w:rsidP="00A16D11">
          <w:pPr>
            <w:rPr>
              <w:rFonts w:ascii="Calibri" w:hAnsi="Calibri" w:cs="Arial"/>
              <w:color w:val="1F497D" w:themeColor="text2"/>
              <w:sz w:val="18"/>
              <w:szCs w:val="32"/>
            </w:rPr>
          </w:pPr>
        </w:p>
        <w:p w:rsidR="00124C8B" w:rsidRDefault="00124C8B" w:rsidP="00A16D11">
          <w:pPr>
            <w:rPr>
              <w:rFonts w:ascii="Calibri" w:hAnsi="Calibri" w:cs="Arial"/>
              <w:color w:val="1F497D" w:themeColor="text2"/>
              <w:sz w:val="40"/>
              <w:szCs w:val="40"/>
            </w:rPr>
          </w:pPr>
          <w:r>
            <w:rPr>
              <w:rFonts w:ascii="Calibri" w:hAnsi="Calibri" w:cs="Arial"/>
              <w:color w:val="1F497D" w:themeColor="text2"/>
              <w:sz w:val="40"/>
              <w:szCs w:val="40"/>
            </w:rPr>
            <w:t>S</w:t>
          </w:r>
          <w:r w:rsidRPr="00A16D11">
            <w:rPr>
              <w:rFonts w:ascii="Calibri" w:hAnsi="Calibri" w:cs="Arial"/>
              <w:color w:val="1F497D" w:themeColor="text2"/>
              <w:sz w:val="40"/>
              <w:szCs w:val="40"/>
            </w:rPr>
            <w:t>eattle Colleges</w:t>
          </w:r>
        </w:p>
        <w:p w:rsidR="00124C8B" w:rsidRPr="00FD3C7C" w:rsidRDefault="00124C8B" w:rsidP="00A16D11">
          <w:pPr>
            <w:rPr>
              <w:rFonts w:ascii="Calibri" w:hAnsi="Calibri" w:cs="Arial"/>
              <w:b/>
              <w:color w:val="984806" w:themeColor="accent6" w:themeShade="80"/>
              <w:sz w:val="32"/>
              <w:szCs w:val="32"/>
            </w:rPr>
          </w:pPr>
          <w:r w:rsidRPr="00FD3C7C">
            <w:rPr>
              <w:rFonts w:ascii="Calibri" w:hAnsi="Calibri" w:cs="Arial"/>
              <w:b/>
              <w:color w:val="984806" w:themeColor="accent6" w:themeShade="80"/>
              <w:sz w:val="32"/>
              <w:szCs w:val="32"/>
            </w:rPr>
            <w:t>Annual Financial Report</w:t>
          </w:r>
        </w:p>
        <w:p w:rsidR="00124C8B" w:rsidRDefault="00124C8B" w:rsidP="00A16D11">
          <w:pPr>
            <w:rPr>
              <w:rFonts w:ascii="Calibri" w:hAnsi="Calibri" w:cs="Arial"/>
              <w:color w:val="984806" w:themeColor="accent6" w:themeShade="80"/>
              <w:sz w:val="32"/>
              <w:szCs w:val="32"/>
            </w:rPr>
          </w:pPr>
          <w:r w:rsidRPr="00A16D11">
            <w:rPr>
              <w:rFonts w:ascii="Calibri" w:hAnsi="Calibri" w:cs="Arial"/>
              <w:color w:val="984806" w:themeColor="accent6" w:themeShade="80"/>
              <w:sz w:val="32"/>
              <w:szCs w:val="32"/>
            </w:rPr>
            <w:t xml:space="preserve">Period Ending </w:t>
          </w:r>
          <w:r>
            <w:rPr>
              <w:rFonts w:ascii="Calibri" w:hAnsi="Calibri" w:cs="Arial"/>
              <w:color w:val="984806" w:themeColor="accent6" w:themeShade="80"/>
              <w:sz w:val="32"/>
              <w:szCs w:val="32"/>
            </w:rPr>
            <w:t>June 30</w:t>
          </w:r>
          <w:r w:rsidR="0079772B">
            <w:rPr>
              <w:rFonts w:ascii="Calibri" w:hAnsi="Calibri" w:cs="Arial"/>
              <w:color w:val="984806" w:themeColor="accent6" w:themeShade="80"/>
              <w:sz w:val="32"/>
              <w:szCs w:val="32"/>
            </w:rPr>
            <w:t>, 201</w:t>
          </w:r>
          <w:r w:rsidR="000F6CAD">
            <w:rPr>
              <w:rFonts w:ascii="Calibri" w:hAnsi="Calibri" w:cs="Arial"/>
              <w:color w:val="984806" w:themeColor="accent6" w:themeShade="80"/>
              <w:sz w:val="32"/>
              <w:szCs w:val="32"/>
            </w:rPr>
            <w:t>5</w:t>
          </w:r>
        </w:p>
        <w:p w:rsidR="00124C8B" w:rsidRPr="00FD3C7C" w:rsidRDefault="00124C8B" w:rsidP="00A16D11">
          <w:pPr>
            <w:rPr>
              <w:rFonts w:ascii="Calibri" w:hAnsi="Calibri" w:cs="Arial"/>
              <w:color w:val="984806" w:themeColor="accent6" w:themeShade="80"/>
              <w:sz w:val="32"/>
              <w:szCs w:val="32"/>
            </w:rPr>
          </w:pPr>
          <w:r w:rsidRPr="00FD3C7C">
            <w:rPr>
              <w:rFonts w:ascii="Calibri" w:hAnsi="Calibri" w:cs="Arial"/>
              <w:color w:val="984806" w:themeColor="accent6" w:themeShade="80"/>
              <w:sz w:val="32"/>
              <w:szCs w:val="32"/>
            </w:rPr>
            <w:t>District Summary</w:t>
          </w:r>
        </w:p>
      </w:tc>
      <w:tc>
        <w:tcPr>
          <w:tcW w:w="2106" w:type="dxa"/>
        </w:tcPr>
        <w:p w:rsidR="00124C8B" w:rsidRDefault="00956715" w:rsidP="00A16D11">
          <w:pPr>
            <w:pStyle w:val="Header"/>
            <w:jc w:val="right"/>
          </w:pPr>
          <w:r>
            <w:rPr>
              <w:noProof/>
            </w:rPr>
            <w:drawing>
              <wp:inline distT="0" distB="0" distL="0" distR="0" wp14:anchorId="4DF3F371" wp14:editId="22CF1344">
                <wp:extent cx="2515955" cy="4917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 Seattle Colleges horiz t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8686" cy="494194"/>
                        </a:xfrm>
                        <a:prstGeom prst="rect">
                          <a:avLst/>
                        </a:prstGeom>
                      </pic:spPr>
                    </pic:pic>
                  </a:graphicData>
                </a:graphic>
              </wp:inline>
            </w:drawing>
          </w:r>
        </w:p>
      </w:tc>
    </w:tr>
  </w:tbl>
  <w:p w:rsidR="00124C8B" w:rsidRDefault="00124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F1C"/>
    <w:multiLevelType w:val="hybridMultilevel"/>
    <w:tmpl w:val="2304B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036E8"/>
    <w:multiLevelType w:val="hybridMultilevel"/>
    <w:tmpl w:val="37286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042634"/>
    <w:multiLevelType w:val="hybridMultilevel"/>
    <w:tmpl w:val="53740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54783B"/>
    <w:multiLevelType w:val="hybridMultilevel"/>
    <w:tmpl w:val="62421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ED7980"/>
    <w:multiLevelType w:val="hybridMultilevel"/>
    <w:tmpl w:val="05C80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D40BD"/>
    <w:multiLevelType w:val="hybridMultilevel"/>
    <w:tmpl w:val="91969F20"/>
    <w:lvl w:ilvl="0" w:tplc="F3D86D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4233E"/>
    <w:multiLevelType w:val="hybridMultilevel"/>
    <w:tmpl w:val="8EB4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B5080"/>
    <w:multiLevelType w:val="hybridMultilevel"/>
    <w:tmpl w:val="855ED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152D5C"/>
    <w:multiLevelType w:val="hybridMultilevel"/>
    <w:tmpl w:val="BC6629BA"/>
    <w:lvl w:ilvl="0" w:tplc="F3D86DC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EB"/>
    <w:rsid w:val="00001FFC"/>
    <w:rsid w:val="00043774"/>
    <w:rsid w:val="00051B81"/>
    <w:rsid w:val="00052C3F"/>
    <w:rsid w:val="00070FCA"/>
    <w:rsid w:val="00072AFE"/>
    <w:rsid w:val="0007515E"/>
    <w:rsid w:val="00092503"/>
    <w:rsid w:val="000950AE"/>
    <w:rsid w:val="00097C53"/>
    <w:rsid w:val="000B2FA8"/>
    <w:rsid w:val="000E6331"/>
    <w:rsid w:val="000F0A2F"/>
    <w:rsid w:val="000F4AE6"/>
    <w:rsid w:val="000F6CAD"/>
    <w:rsid w:val="00103E7F"/>
    <w:rsid w:val="001058BF"/>
    <w:rsid w:val="001171F5"/>
    <w:rsid w:val="00124C8B"/>
    <w:rsid w:val="00127FF2"/>
    <w:rsid w:val="00131675"/>
    <w:rsid w:val="00132619"/>
    <w:rsid w:val="001510D5"/>
    <w:rsid w:val="00155DE1"/>
    <w:rsid w:val="00156AD9"/>
    <w:rsid w:val="00164F1A"/>
    <w:rsid w:val="001711A1"/>
    <w:rsid w:val="00180E8B"/>
    <w:rsid w:val="00194D6A"/>
    <w:rsid w:val="001A282B"/>
    <w:rsid w:val="001A51A8"/>
    <w:rsid w:val="001B04C1"/>
    <w:rsid w:val="001B1D73"/>
    <w:rsid w:val="001C2C9A"/>
    <w:rsid w:val="001C57B6"/>
    <w:rsid w:val="001C7934"/>
    <w:rsid w:val="001D0707"/>
    <w:rsid w:val="001D6998"/>
    <w:rsid w:val="001E6A82"/>
    <w:rsid w:val="001F099A"/>
    <w:rsid w:val="001F2A92"/>
    <w:rsid w:val="002004EC"/>
    <w:rsid w:val="002049DC"/>
    <w:rsid w:val="00222596"/>
    <w:rsid w:val="00255A3A"/>
    <w:rsid w:val="00271984"/>
    <w:rsid w:val="002C21D8"/>
    <w:rsid w:val="002C5C79"/>
    <w:rsid w:val="002D13D2"/>
    <w:rsid w:val="002D46DF"/>
    <w:rsid w:val="002F17D8"/>
    <w:rsid w:val="00301CAC"/>
    <w:rsid w:val="00311FE6"/>
    <w:rsid w:val="00342D76"/>
    <w:rsid w:val="00351E86"/>
    <w:rsid w:val="003739DC"/>
    <w:rsid w:val="003868CE"/>
    <w:rsid w:val="00396EBD"/>
    <w:rsid w:val="003D24A7"/>
    <w:rsid w:val="003E53B6"/>
    <w:rsid w:val="003F0215"/>
    <w:rsid w:val="00400EF1"/>
    <w:rsid w:val="00411257"/>
    <w:rsid w:val="004112EB"/>
    <w:rsid w:val="004163F4"/>
    <w:rsid w:val="00425E6B"/>
    <w:rsid w:val="004303EE"/>
    <w:rsid w:val="00434A88"/>
    <w:rsid w:val="00441905"/>
    <w:rsid w:val="004453B1"/>
    <w:rsid w:val="00453193"/>
    <w:rsid w:val="00470AA3"/>
    <w:rsid w:val="004868C9"/>
    <w:rsid w:val="004923F1"/>
    <w:rsid w:val="004A3839"/>
    <w:rsid w:val="004B24D3"/>
    <w:rsid w:val="004B37A6"/>
    <w:rsid w:val="004B639F"/>
    <w:rsid w:val="004C5E0C"/>
    <w:rsid w:val="004D54EA"/>
    <w:rsid w:val="004E7E3D"/>
    <w:rsid w:val="004F42CF"/>
    <w:rsid w:val="00503C94"/>
    <w:rsid w:val="0050694F"/>
    <w:rsid w:val="00515513"/>
    <w:rsid w:val="00526FE9"/>
    <w:rsid w:val="00546E9A"/>
    <w:rsid w:val="00552F5D"/>
    <w:rsid w:val="00561774"/>
    <w:rsid w:val="00564B3F"/>
    <w:rsid w:val="005757E7"/>
    <w:rsid w:val="00595C71"/>
    <w:rsid w:val="005B14DC"/>
    <w:rsid w:val="005B185F"/>
    <w:rsid w:val="005C10E0"/>
    <w:rsid w:val="005C5DBA"/>
    <w:rsid w:val="005D10BE"/>
    <w:rsid w:val="005D2962"/>
    <w:rsid w:val="005D3AE6"/>
    <w:rsid w:val="005D485F"/>
    <w:rsid w:val="005D5AB7"/>
    <w:rsid w:val="005E7BE2"/>
    <w:rsid w:val="005F2FAB"/>
    <w:rsid w:val="005F743D"/>
    <w:rsid w:val="00604B09"/>
    <w:rsid w:val="0060764D"/>
    <w:rsid w:val="00613520"/>
    <w:rsid w:val="00631FD3"/>
    <w:rsid w:val="006339F8"/>
    <w:rsid w:val="00633FA0"/>
    <w:rsid w:val="0065259D"/>
    <w:rsid w:val="00653383"/>
    <w:rsid w:val="00654537"/>
    <w:rsid w:val="00655989"/>
    <w:rsid w:val="006574A0"/>
    <w:rsid w:val="006611B6"/>
    <w:rsid w:val="00664EE6"/>
    <w:rsid w:val="00671F7F"/>
    <w:rsid w:val="006750FA"/>
    <w:rsid w:val="0067679A"/>
    <w:rsid w:val="006A00B8"/>
    <w:rsid w:val="006A7C19"/>
    <w:rsid w:val="006B259B"/>
    <w:rsid w:val="006B3AC3"/>
    <w:rsid w:val="006C3F32"/>
    <w:rsid w:val="006D06F2"/>
    <w:rsid w:val="006D0CBF"/>
    <w:rsid w:val="006E1C3D"/>
    <w:rsid w:val="006E568E"/>
    <w:rsid w:val="00705E0F"/>
    <w:rsid w:val="007165C1"/>
    <w:rsid w:val="007167A8"/>
    <w:rsid w:val="0075127C"/>
    <w:rsid w:val="0076716F"/>
    <w:rsid w:val="00772BC3"/>
    <w:rsid w:val="0077623F"/>
    <w:rsid w:val="00792A2F"/>
    <w:rsid w:val="007945ED"/>
    <w:rsid w:val="0079772B"/>
    <w:rsid w:val="007B1986"/>
    <w:rsid w:val="007B371C"/>
    <w:rsid w:val="007C2527"/>
    <w:rsid w:val="007C28D7"/>
    <w:rsid w:val="007F3690"/>
    <w:rsid w:val="007F4589"/>
    <w:rsid w:val="008244DF"/>
    <w:rsid w:val="0082519C"/>
    <w:rsid w:val="00825998"/>
    <w:rsid w:val="00845554"/>
    <w:rsid w:val="0086171F"/>
    <w:rsid w:val="0086445E"/>
    <w:rsid w:val="00873AE9"/>
    <w:rsid w:val="00881EBA"/>
    <w:rsid w:val="00882452"/>
    <w:rsid w:val="008959FA"/>
    <w:rsid w:val="008A133C"/>
    <w:rsid w:val="008B18F2"/>
    <w:rsid w:val="008B1CBD"/>
    <w:rsid w:val="008B4A66"/>
    <w:rsid w:val="008B522D"/>
    <w:rsid w:val="008C6F46"/>
    <w:rsid w:val="008E16B5"/>
    <w:rsid w:val="008E3C0C"/>
    <w:rsid w:val="008E70F0"/>
    <w:rsid w:val="00925A9A"/>
    <w:rsid w:val="009314CF"/>
    <w:rsid w:val="00934130"/>
    <w:rsid w:val="00934A61"/>
    <w:rsid w:val="009355B9"/>
    <w:rsid w:val="00951A63"/>
    <w:rsid w:val="00956715"/>
    <w:rsid w:val="009663B7"/>
    <w:rsid w:val="009948DD"/>
    <w:rsid w:val="009A79FC"/>
    <w:rsid w:val="009B255E"/>
    <w:rsid w:val="009C1016"/>
    <w:rsid w:val="009D2B9B"/>
    <w:rsid w:val="00A15F8C"/>
    <w:rsid w:val="00A16D11"/>
    <w:rsid w:val="00A21199"/>
    <w:rsid w:val="00A41C5F"/>
    <w:rsid w:val="00A443FA"/>
    <w:rsid w:val="00A4523E"/>
    <w:rsid w:val="00A45398"/>
    <w:rsid w:val="00A71101"/>
    <w:rsid w:val="00A77438"/>
    <w:rsid w:val="00A90D03"/>
    <w:rsid w:val="00AA1A45"/>
    <w:rsid w:val="00AD0BFB"/>
    <w:rsid w:val="00AD17DB"/>
    <w:rsid w:val="00AE59EE"/>
    <w:rsid w:val="00AF017D"/>
    <w:rsid w:val="00AF0620"/>
    <w:rsid w:val="00B04559"/>
    <w:rsid w:val="00B13BCA"/>
    <w:rsid w:val="00B15814"/>
    <w:rsid w:val="00B239F6"/>
    <w:rsid w:val="00B44447"/>
    <w:rsid w:val="00B52D4E"/>
    <w:rsid w:val="00B53F03"/>
    <w:rsid w:val="00B550D7"/>
    <w:rsid w:val="00B63C17"/>
    <w:rsid w:val="00B657FD"/>
    <w:rsid w:val="00B7374F"/>
    <w:rsid w:val="00B76BCC"/>
    <w:rsid w:val="00B76DA4"/>
    <w:rsid w:val="00B90160"/>
    <w:rsid w:val="00B903CC"/>
    <w:rsid w:val="00B95724"/>
    <w:rsid w:val="00B979C6"/>
    <w:rsid w:val="00BA0388"/>
    <w:rsid w:val="00BA6ABB"/>
    <w:rsid w:val="00BB22CC"/>
    <w:rsid w:val="00BB35FE"/>
    <w:rsid w:val="00BD2CE7"/>
    <w:rsid w:val="00BE0187"/>
    <w:rsid w:val="00C101F8"/>
    <w:rsid w:val="00C140E9"/>
    <w:rsid w:val="00C148F4"/>
    <w:rsid w:val="00C26039"/>
    <w:rsid w:val="00C47D67"/>
    <w:rsid w:val="00C54052"/>
    <w:rsid w:val="00C57C34"/>
    <w:rsid w:val="00C60166"/>
    <w:rsid w:val="00C75FDB"/>
    <w:rsid w:val="00C766C9"/>
    <w:rsid w:val="00C84769"/>
    <w:rsid w:val="00C906DE"/>
    <w:rsid w:val="00CB6953"/>
    <w:rsid w:val="00CD1232"/>
    <w:rsid w:val="00CD5CA0"/>
    <w:rsid w:val="00D027B2"/>
    <w:rsid w:val="00D140A6"/>
    <w:rsid w:val="00D26E79"/>
    <w:rsid w:val="00D311F2"/>
    <w:rsid w:val="00D508C7"/>
    <w:rsid w:val="00D7479C"/>
    <w:rsid w:val="00D809E7"/>
    <w:rsid w:val="00DA347C"/>
    <w:rsid w:val="00DB2A46"/>
    <w:rsid w:val="00DC4060"/>
    <w:rsid w:val="00DE1630"/>
    <w:rsid w:val="00DF0C2B"/>
    <w:rsid w:val="00DF30EF"/>
    <w:rsid w:val="00DF672E"/>
    <w:rsid w:val="00E02C16"/>
    <w:rsid w:val="00E25C8F"/>
    <w:rsid w:val="00E25FD5"/>
    <w:rsid w:val="00E43665"/>
    <w:rsid w:val="00E6193E"/>
    <w:rsid w:val="00E62D16"/>
    <w:rsid w:val="00E63F52"/>
    <w:rsid w:val="00E80022"/>
    <w:rsid w:val="00E86305"/>
    <w:rsid w:val="00E95928"/>
    <w:rsid w:val="00E97D14"/>
    <w:rsid w:val="00EA1D57"/>
    <w:rsid w:val="00EA601B"/>
    <w:rsid w:val="00EC61BB"/>
    <w:rsid w:val="00EC785D"/>
    <w:rsid w:val="00ED2197"/>
    <w:rsid w:val="00EE0C1A"/>
    <w:rsid w:val="00EE67E3"/>
    <w:rsid w:val="00EE7021"/>
    <w:rsid w:val="00EE7474"/>
    <w:rsid w:val="00EF5BBD"/>
    <w:rsid w:val="00F06411"/>
    <w:rsid w:val="00F14195"/>
    <w:rsid w:val="00F47715"/>
    <w:rsid w:val="00F60DD5"/>
    <w:rsid w:val="00F954E5"/>
    <w:rsid w:val="00F97040"/>
    <w:rsid w:val="00FA07C7"/>
    <w:rsid w:val="00FC5BA9"/>
    <w:rsid w:val="00FD315D"/>
    <w:rsid w:val="00FD3C7C"/>
    <w:rsid w:val="00FF0C58"/>
    <w:rsid w:val="00FF4E9E"/>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9A"/>
    <w:pPr>
      <w:ind w:left="720"/>
      <w:contextualSpacing/>
    </w:pPr>
  </w:style>
  <w:style w:type="paragraph" w:styleId="Header">
    <w:name w:val="header"/>
    <w:basedOn w:val="Normal"/>
    <w:link w:val="HeaderChar"/>
    <w:uiPriority w:val="99"/>
    <w:unhideWhenUsed/>
    <w:rsid w:val="00BA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BB"/>
  </w:style>
  <w:style w:type="paragraph" w:styleId="Footer">
    <w:name w:val="footer"/>
    <w:basedOn w:val="Normal"/>
    <w:link w:val="FooterChar"/>
    <w:uiPriority w:val="99"/>
    <w:unhideWhenUsed/>
    <w:rsid w:val="00BA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BB"/>
  </w:style>
  <w:style w:type="paragraph" w:styleId="BalloonText">
    <w:name w:val="Balloon Text"/>
    <w:basedOn w:val="Normal"/>
    <w:link w:val="BalloonTextChar"/>
    <w:uiPriority w:val="99"/>
    <w:semiHidden/>
    <w:unhideWhenUsed/>
    <w:rsid w:val="009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FC"/>
    <w:rPr>
      <w:rFonts w:ascii="Tahoma" w:hAnsi="Tahoma" w:cs="Tahoma"/>
      <w:sz w:val="16"/>
      <w:szCs w:val="16"/>
    </w:rPr>
  </w:style>
  <w:style w:type="table" w:styleId="TableGrid">
    <w:name w:val="Table Grid"/>
    <w:basedOn w:val="TableNormal"/>
    <w:uiPriority w:val="59"/>
    <w:rsid w:val="00A1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9A"/>
    <w:pPr>
      <w:ind w:left="720"/>
      <w:contextualSpacing/>
    </w:pPr>
  </w:style>
  <w:style w:type="paragraph" w:styleId="Header">
    <w:name w:val="header"/>
    <w:basedOn w:val="Normal"/>
    <w:link w:val="HeaderChar"/>
    <w:uiPriority w:val="99"/>
    <w:unhideWhenUsed/>
    <w:rsid w:val="00BA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BB"/>
  </w:style>
  <w:style w:type="paragraph" w:styleId="Footer">
    <w:name w:val="footer"/>
    <w:basedOn w:val="Normal"/>
    <w:link w:val="FooterChar"/>
    <w:uiPriority w:val="99"/>
    <w:unhideWhenUsed/>
    <w:rsid w:val="00BA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BB"/>
  </w:style>
  <w:style w:type="paragraph" w:styleId="BalloonText">
    <w:name w:val="Balloon Text"/>
    <w:basedOn w:val="Normal"/>
    <w:link w:val="BalloonTextChar"/>
    <w:uiPriority w:val="99"/>
    <w:semiHidden/>
    <w:unhideWhenUsed/>
    <w:rsid w:val="009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FC"/>
    <w:rPr>
      <w:rFonts w:ascii="Tahoma" w:hAnsi="Tahoma" w:cs="Tahoma"/>
      <w:sz w:val="16"/>
      <w:szCs w:val="16"/>
    </w:rPr>
  </w:style>
  <w:style w:type="table" w:styleId="TableGrid">
    <w:name w:val="Table Grid"/>
    <w:basedOn w:val="TableNormal"/>
    <w:uiPriority w:val="59"/>
    <w:rsid w:val="00A1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063">
      <w:bodyDiv w:val="1"/>
      <w:marLeft w:val="0"/>
      <w:marRight w:val="0"/>
      <w:marTop w:val="0"/>
      <w:marBottom w:val="0"/>
      <w:divBdr>
        <w:top w:val="none" w:sz="0" w:space="0" w:color="auto"/>
        <w:left w:val="none" w:sz="0" w:space="0" w:color="auto"/>
        <w:bottom w:val="none" w:sz="0" w:space="0" w:color="auto"/>
        <w:right w:val="none" w:sz="0" w:space="0" w:color="auto"/>
      </w:divBdr>
    </w:div>
    <w:div w:id="3972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5DD0-ABA1-4D19-B0D7-74ADCF8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Community Colleges</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drstark</dc:creator>
  <cp:lastModifiedBy>siegal</cp:lastModifiedBy>
  <cp:revision>3</cp:revision>
  <cp:lastPrinted>2015-08-27T17:46:00Z</cp:lastPrinted>
  <dcterms:created xsi:type="dcterms:W3CDTF">2015-08-27T18:49:00Z</dcterms:created>
  <dcterms:modified xsi:type="dcterms:W3CDTF">2015-08-31T15:33:00Z</dcterms:modified>
</cp:coreProperties>
</file>